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DC6BB" w14:textId="572C160B" w:rsidR="00CC6AF7" w:rsidRDefault="00000000" w:rsidP="00730CEB">
      <w:pPr>
        <w:pStyle w:val="Balk3"/>
        <w:spacing w:before="240" w:after="240" w:line="280" w:lineRule="auto"/>
        <w:jc w:val="center"/>
      </w:pPr>
      <w:r>
        <w:rPr>
          <w:b/>
          <w:bCs/>
          <w:color w:val="000000"/>
        </w:rPr>
        <w:t>GENEL VEKALETNAME</w:t>
      </w:r>
    </w:p>
    <w:p w14:paraId="00EDBA98" w14:textId="77777777" w:rsidR="00CC6AF7" w:rsidRDefault="00000000">
      <w:r>
        <w:rPr>
          <w:b/>
          <w:bCs/>
        </w:rPr>
        <w:t xml:space="preserve">VEKALETİ </w:t>
      </w:r>
      <w:proofErr w:type="gramStart"/>
      <w:r>
        <w:rPr>
          <w:b/>
          <w:bCs/>
        </w:rPr>
        <w:t>VEREN :</w:t>
      </w:r>
      <w:proofErr w:type="gramEnd"/>
    </w:p>
    <w:p w14:paraId="3B1C17B6" w14:textId="77777777" w:rsidR="00CC6AF7" w:rsidRDefault="00000000">
      <w:r>
        <w:t xml:space="preserve">Ad </w:t>
      </w:r>
      <w:proofErr w:type="spellStart"/>
      <w:proofErr w:type="gramStart"/>
      <w:r>
        <w:t>Soyad</w:t>
      </w:r>
      <w:proofErr w:type="spellEnd"/>
      <w:r>
        <w:t xml:space="preserve"> :</w:t>
      </w:r>
      <w:proofErr w:type="gramEnd"/>
      <w:r>
        <w:br/>
        <w:t>T.C. Kimlik No :</w:t>
      </w:r>
      <w:r>
        <w:br/>
        <w:t>Doğum Tarihi :</w:t>
      </w:r>
      <w:r>
        <w:br/>
        <w:t>Adres :</w:t>
      </w:r>
    </w:p>
    <w:p w14:paraId="3FC66754" w14:textId="77777777" w:rsidR="00CC6AF7" w:rsidRDefault="00000000">
      <w:r>
        <w:rPr>
          <w:b/>
          <w:bCs/>
        </w:rPr>
        <w:t xml:space="preserve">VEKİL </w:t>
      </w:r>
      <w:proofErr w:type="gramStart"/>
      <w:r>
        <w:rPr>
          <w:b/>
          <w:bCs/>
        </w:rPr>
        <w:t>OLAN :</w:t>
      </w:r>
      <w:proofErr w:type="gramEnd"/>
    </w:p>
    <w:p w14:paraId="3976C806" w14:textId="77777777" w:rsidR="00CC6AF7" w:rsidRDefault="00000000">
      <w:r>
        <w:t xml:space="preserve">Ad </w:t>
      </w:r>
      <w:proofErr w:type="spellStart"/>
      <w:proofErr w:type="gramStart"/>
      <w:r>
        <w:t>Soyad</w:t>
      </w:r>
      <w:proofErr w:type="spellEnd"/>
      <w:r>
        <w:t xml:space="preserve"> :</w:t>
      </w:r>
      <w:proofErr w:type="gramEnd"/>
      <w:r>
        <w:t xml:space="preserve"> Av. Mustafa YAMAN</w:t>
      </w:r>
      <w:r>
        <w:br/>
        <w:t>T.C. Kimlik No : 17942473984</w:t>
      </w:r>
      <w:r>
        <w:br/>
        <w:t>Baro Sicil No : İstanbul Barosu 22015</w:t>
      </w:r>
      <w:r>
        <w:br/>
        <w:t>Vergi Dairesi/No : Kağıthane Vergi Dairesi / 9350017121</w:t>
      </w:r>
      <w:r>
        <w:br/>
        <w:t xml:space="preserve">Adres : Kuştepe </w:t>
      </w:r>
      <w:proofErr w:type="spellStart"/>
      <w:r>
        <w:t>Mh</w:t>
      </w:r>
      <w:proofErr w:type="spellEnd"/>
      <w:r>
        <w:t>. Biracılar Sok. No. 34 Şişli / İstanbul</w:t>
      </w:r>
    </w:p>
    <w:p w14:paraId="1CE46519" w14:textId="77777777" w:rsidR="00CC6AF7" w:rsidRDefault="00000000">
      <w:pPr>
        <w:pStyle w:val="Balk4"/>
        <w:spacing w:before="240" w:after="240" w:line="280" w:lineRule="auto"/>
      </w:pPr>
      <w:r>
        <w:rPr>
          <w:b/>
          <w:bCs/>
          <w:color w:val="000000"/>
        </w:rPr>
        <w:t>Genel Avukatlık Yetkileri</w:t>
      </w:r>
    </w:p>
    <w:p w14:paraId="01073E89" w14:textId="77777777" w:rsidR="00CC6AF7" w:rsidRDefault="00000000" w:rsidP="00730CEB">
      <w:pPr>
        <w:jc w:val="both"/>
      </w:pPr>
      <w:r>
        <w:t xml:space="preserve">Lehime ve aleyhime açılmış ve açılacak dava ve takiplerden dolayı T.C. yargı organlarının, meclislerinin, daire ve kuruluşlarının her kısım ve derecesinde, her yol ve sıfatla beni temsile, hak ve menfaatlerimi korumaya, davalar açmaya, davalara katılmaya, takibe ve neticelendirmeye, kişiye sıkı sıkıya bağlı haklarla ilgili davaları açmaya ve takip etmeye; Avrupa İnsan Hakları Mahkemesi'nde dava açmaya, yabancı ülkelerde verilmiş mahkeme kararlarının Türkiye'de tanınmasını ve tenfizini istemeye, Anayasa Mahkemesi'ne bireysel başvuru hakkını kullanmaya; tanık, muhasip ve bilirkişi göstermeye, her türlü ihtilaf, müsadere, haciz, iflas ve cezai soruşturmada beni temsile; duruşmalardan vareste tutulmam yolunda talepte bulunmaya, tüm kararların infazını ilgili kuruluşlardan istemeye, mahkeme, savcılık ve idari makamlarda uzlaşma talebinde bulunmaya, kabule veya redde, karşı taraftan gösterilenleri kabul veya redde; yemin teklif, kabul, iade ve reddetmeye; keşif yaptırmaya, keşiflerde hazır bulunmaya, keşif raporlarına itiraz etmeye, yeniden keşif talebinde bulunmaya, davanın bir kısmını ya da tamamını ıslah etmeye; icra daireleri, Yargıtay, Sayıştay, Danıştay, bölge idare mahkemeleri, idare mahkemeleri, bölge adliye mahkemeleri, vergi mahkemeleri ve yasalarla kurulmuş ve kurulacak yargı organları ile diğer devlet dairelerinin tümünde gerekli her türlü kanuni işlemleri yaptırmaya, işleri takibe, murafaaya; kararları temyiz etmeye, kararların düzeltilmesini ve yargılamanın iadesini istemeye; hakim, bilirkişi, hakem, şahit, katip, muhasip ve bilirkişileri şikâyet ve redde; hakimlerin fiilleri sebebiyle Devlet aleyhine tazminat davası açmaya, dava nakline, duruşmalarına katılmaya, elden evrak alıp vermeye, kayıt ve suretler çıkartmaya, adli sicil kaydı almaya ve bununla ilgili tüm işlemleri takibe, dosyaları tetkike, yanlışlıkları düzelttirmeye; sulh ve ibraya, davadan ve temyizden, karar düzeltme ve tüm kanun yollarından feragate, feragati kabule, davayı kabule, yargılamanın iadesi talebinde bulunmaya; her nevi dilekçe ve evrakı beni temsilen kendi imzasıyla ilgili kurum ve kuruluşlara vermeye, adıma tebliğ ve tebellüğe; tahkime ve hakem tayinine, tahkim ve hakem sözleşmesi yapmaya; vergi daireleri, vergi itiraz, takdir, temyiz ve il ulaştırma komisyonları ile yasalarla bu konularda kurulmuş ve kurulacak organlarda beni temsile, uzlaşma talebinde bulunmaya, tutanakları imzalamaya, itiraza, gerekli yasal işlemleri takip ve neticelendirmeye; noterler nezdinde gerekli iş ve işlemleri yapmaya, protesto, ihtarname ve ihbarname keşidesine, keşide olunanlara cevap vermeye; icra takibinde bulunmaya, ihtiyati ve icrai tedbir ve hacizler yaptırmaya ve kaldırtmaya, icrada ve satış memurluklarında her türlü ihaleye katılmaya, tüm ihale işlemlerini yapmaya, pey sürmeye, adıma satın almaya, teminat çekmeye, yatırmaya, her türlü teminat işlemlerini yapmaya, alacağı veya icra dosyasını temlik almaya ve temlik vermeye, adıma mal beyanında bulunmaya, icra takibi ile veya savcılık şikâyeti ile ilgili çek bedelinin bankaya ödenmesi ve blokesi halinde bankadan tahsile, bankadan bilgi almaya, kambiyo senet bedellerini takip, talep </w:t>
      </w:r>
      <w:r>
        <w:lastRenderedPageBreak/>
        <w:t xml:space="preserve">ve tahsile, </w:t>
      </w:r>
      <w:proofErr w:type="spellStart"/>
      <w:r>
        <w:t>ahzu</w:t>
      </w:r>
      <w:proofErr w:type="spellEnd"/>
      <w:r>
        <w:t xml:space="preserve"> kabza; sulh ve ibraya; ticaret sicili müdürlükleri, bankalar ve sair tüm makam ve merciler nezdindeki iş ve işlemlerde temsile; iflasımı istemeye, konkordato veya sermaye şirketleri ve kooperatiflerin uzlaşma yoluyla yeniden yapılandırılması teklifinde bulunmaya ve bunlara muvafakat vermeye yetkili kılınmıştır.</w:t>
      </w:r>
    </w:p>
    <w:p w14:paraId="0DF6C811" w14:textId="77777777" w:rsidR="00CC6AF7" w:rsidRDefault="00000000" w:rsidP="00730CEB">
      <w:pPr>
        <w:pStyle w:val="Balk4"/>
        <w:spacing w:before="240" w:after="240" w:line="280" w:lineRule="auto"/>
        <w:jc w:val="both"/>
      </w:pPr>
      <w:r>
        <w:rPr>
          <w:b/>
          <w:bCs/>
          <w:color w:val="000000"/>
        </w:rPr>
        <w:t>Yabancılar Hukuku Kapsamındaki Özel Yetkiler</w:t>
      </w:r>
    </w:p>
    <w:p w14:paraId="4F65F3CA" w14:textId="77777777" w:rsidR="00CC6AF7" w:rsidRDefault="00000000" w:rsidP="00730CEB">
      <w:pPr>
        <w:jc w:val="both"/>
      </w:pPr>
      <w:r>
        <w:rPr>
          <w:b/>
          <w:bCs/>
        </w:rPr>
        <w:t>6458 sayılı Yabancılar ve Uluslararası Koruma Kanunu (YİUK)</w:t>
      </w:r>
      <w:r>
        <w:t xml:space="preserve"> ve ilgili mevzuat kapsamında, aşağıda sayılan iş ve işlemlerin tamamında adıma iş ve işlem yapmaya, başvuruda bulunmaya, belge almaya, imzalamaya ve hukuki süreçleri takip ve neticelendirmeye yetkili kılınmıştır:</w:t>
      </w:r>
    </w:p>
    <w:p w14:paraId="154679E5" w14:textId="77777777" w:rsidR="00CC6AF7" w:rsidRDefault="00000000" w:rsidP="00730CEB">
      <w:pPr>
        <w:jc w:val="both"/>
      </w:pPr>
      <w:r>
        <w:rPr>
          <w:b/>
          <w:bCs/>
        </w:rPr>
        <w:t>1.</w:t>
      </w:r>
      <w:r>
        <w:t xml:space="preserve"> Kısa dönem, aile, öğrenci, uzun dönem, insani ikamet izni, insan ticareti mağduru ikamet izni ve </w:t>
      </w:r>
      <w:proofErr w:type="spellStart"/>
      <w:r>
        <w:t>YİUK'ta</w:t>
      </w:r>
      <w:proofErr w:type="spellEnd"/>
      <w:r>
        <w:t xml:space="preserve"> düzenlenen diğer tüm ikamet izni türleri bakımından başvuru yapmaya, mevcut izinlerin uzatılmasını talep etmeye, iptal ya da sona erme kararlarına karşı idari itiraz ve yargı yoluna başvurmaya; İl Göç İdaresi Müdürlükleri ve Göç İdaresi Genel Müdürlüğü nezdinde her türlü iş ve işlemi yürütmeye;</w:t>
      </w:r>
    </w:p>
    <w:p w14:paraId="4BBEF865" w14:textId="77777777" w:rsidR="00CC6AF7" w:rsidRDefault="00000000" w:rsidP="00730CEB">
      <w:pPr>
        <w:jc w:val="both"/>
      </w:pPr>
      <w:r>
        <w:rPr>
          <w:b/>
          <w:bCs/>
        </w:rPr>
        <w:t>2.5901 sayılı Türk Vatandaşlığı Kanunu</w:t>
      </w:r>
      <w:r>
        <w:t xml:space="preserve"> ve ilgili mevzuat kapsamında vatandaşlık kazanma, vatandaşlık tespiti, istisnai vatandaşlık, evlilik yoluyla vatandaşlık ve vatandaşlığın yeniden kazanılmasına ilişkin her türlü başvuruyu yapmaya; İçişleri Bakanlığı, Nüfus ve Vatandaşlık İşleri Genel Müdürlüğü ve ilgili tüm kurum ve kuruluşlar nezdinde iş ve işlem yapmaya;</w:t>
      </w:r>
    </w:p>
    <w:p w14:paraId="784C08FD" w14:textId="77777777" w:rsidR="00CC6AF7" w:rsidRDefault="00000000" w:rsidP="00730CEB">
      <w:pPr>
        <w:jc w:val="both"/>
      </w:pPr>
      <w:r>
        <w:rPr>
          <w:b/>
          <w:bCs/>
        </w:rPr>
        <w:t>3.</w:t>
      </w:r>
      <w:r>
        <w:t xml:space="preserve"> YİUK kapsamında mülteci, şartlı mülteci ve ikincil koruma statüsü dahil her türlü uluslararası koruma başvurusunu yapmaya, statü belirleme süreçlerinde adıma temsil etmeye, olumsuz kararlara karşı idari itiraz yoluna başvurmaya, idare mahkemeleri ve diğer yargı mercileri nezdinde dava açmaya ve takip etmeye;</w:t>
      </w:r>
    </w:p>
    <w:p w14:paraId="1801CAFF" w14:textId="77777777" w:rsidR="00CC6AF7" w:rsidRDefault="00000000" w:rsidP="00730CEB">
      <w:pPr>
        <w:jc w:val="both"/>
      </w:pPr>
      <w:r>
        <w:rPr>
          <w:b/>
          <w:bCs/>
        </w:rPr>
        <w:t>4.</w:t>
      </w:r>
      <w:r>
        <w:t xml:space="preserve"> Geçici koruma statüsüne ilişkin başvuru yapmaya ve bu statü kapsamındaki tüm idari işlemleri yürütmeye, itiraz ve başvuru yollarını kullanmaya;</w:t>
      </w:r>
    </w:p>
    <w:p w14:paraId="17D5607F" w14:textId="77777777" w:rsidR="00CC6AF7" w:rsidRDefault="00000000" w:rsidP="00730CEB">
      <w:pPr>
        <w:jc w:val="both"/>
      </w:pPr>
      <w:r>
        <w:rPr>
          <w:b/>
          <w:bCs/>
        </w:rPr>
        <w:t>5.</w:t>
      </w:r>
      <w:r>
        <w:t xml:space="preserve"> Sınır dışı etme ve geri gönderme kararlarına karşı idare mahkemeleri ve sulh ceza hakimlikleri nezdinde itiraz başvurusunda bulunmaya, yürütmenin durdurulmasını talep etmeye; geri gönderme merkezinde bulunan kişi adına her türlü hukuki girişimi yapmaya, serbest bırakılma talep etmeye;</w:t>
      </w:r>
    </w:p>
    <w:p w14:paraId="6FE3A307" w14:textId="77777777" w:rsidR="00CC6AF7" w:rsidRDefault="00000000" w:rsidP="00730CEB">
      <w:pPr>
        <w:jc w:val="both"/>
      </w:pPr>
      <w:r>
        <w:rPr>
          <w:b/>
          <w:bCs/>
        </w:rPr>
        <w:t>6.4817 sayılı Yabancıların Çalışma İzinleri Hakkında Kanun</w:t>
      </w:r>
      <w:r>
        <w:t xml:space="preserve"> ve </w:t>
      </w:r>
      <w:r>
        <w:rPr>
          <w:b/>
          <w:bCs/>
        </w:rPr>
        <w:t>7244 sayılı Kanun</w:t>
      </w:r>
      <w:r>
        <w:t xml:space="preserve"> ile ilgili mevzuat kapsamında bağımlı ve bağımsız çalışma izni başvurusu ve uzatma talebinde bulunmaya, muafiyet ve istisna hallerini işlemeye, iptal kararlarına itiraz etmeye; Çalışma ve Sosyal Güvenlik Bakanlığı, Aile ve Sosyal Hizmetler Bakanlığı ile diğer yetkili kurum ve kuruluşlar nezdinde her türlü iş ve işlem yapmaya;</w:t>
      </w:r>
    </w:p>
    <w:p w14:paraId="0AF23AE8" w14:textId="77777777" w:rsidR="00CC6AF7" w:rsidRDefault="00000000" w:rsidP="00730CEB">
      <w:pPr>
        <w:jc w:val="both"/>
      </w:pPr>
      <w:r>
        <w:rPr>
          <w:b/>
          <w:bCs/>
        </w:rPr>
        <w:t>7.</w:t>
      </w:r>
      <w:r>
        <w:t xml:space="preserve"> Vize başvurusu yapmaya, vize ret kararlarına itiraz etmeye; ilgili Türk konsoloslukları, Dışişleri Bakanlığı ve diğer yetkili kurumlar nezdinde iş ve işlem yapmaya;</w:t>
      </w:r>
    </w:p>
    <w:p w14:paraId="09CA9766" w14:textId="77777777" w:rsidR="00CC6AF7" w:rsidRDefault="00000000" w:rsidP="00730CEB">
      <w:pPr>
        <w:jc w:val="both"/>
      </w:pPr>
      <w:r>
        <w:rPr>
          <w:b/>
          <w:bCs/>
        </w:rPr>
        <w:t>8.</w:t>
      </w:r>
      <w:r>
        <w:t xml:space="preserve"> Pasaport ve seyahat belgesi başvurusu yapmaya; kayıp veya çalıntı pasaport bildirimini ilgili makamlara iletmeye, yenileme işlemlerini yürütmeye;</w:t>
      </w:r>
    </w:p>
    <w:p w14:paraId="3C1ED19D" w14:textId="77777777" w:rsidR="00CC6AF7" w:rsidRDefault="00000000" w:rsidP="00730CEB">
      <w:pPr>
        <w:jc w:val="both"/>
      </w:pPr>
      <w:r>
        <w:rPr>
          <w:b/>
          <w:bCs/>
        </w:rPr>
        <w:t>9.</w:t>
      </w:r>
      <w:r>
        <w:t xml:space="preserve"> Yabancı kimlik numarası (YKN) ve yabancı kimlik belgesi başvurusu yapmaya, mevcut belgelerin güncellenmesini ve yenilenmesini talep etmeye;</w:t>
      </w:r>
    </w:p>
    <w:p w14:paraId="055C384C" w14:textId="77777777" w:rsidR="00CC6AF7" w:rsidRDefault="00000000" w:rsidP="00730CEB">
      <w:pPr>
        <w:jc w:val="both"/>
      </w:pPr>
      <w:r>
        <w:rPr>
          <w:b/>
          <w:bCs/>
        </w:rPr>
        <w:t>10.</w:t>
      </w:r>
      <w:r>
        <w:t xml:space="preserve"> Adrese kayıt ve adres güncelleme işlemleri ile nüfus müdürlükleri nezdindeki her türlü iş ve işlemi yapmaya;</w:t>
      </w:r>
    </w:p>
    <w:p w14:paraId="3DE8814B" w14:textId="77777777" w:rsidR="00CC6AF7" w:rsidRDefault="00000000" w:rsidP="00730CEB">
      <w:pPr>
        <w:jc w:val="both"/>
      </w:pPr>
      <w:r>
        <w:rPr>
          <w:b/>
          <w:bCs/>
        </w:rPr>
        <w:t>11.</w:t>
      </w:r>
      <w:r>
        <w:t xml:space="preserve"> Aile birleşimi kapsamında aile ikamet izni başvurusu ve uzatma talebinde bulunmaya, itiraz yollarını kullanmaya;</w:t>
      </w:r>
    </w:p>
    <w:p w14:paraId="1BB4F13E" w14:textId="77777777" w:rsidR="00CC6AF7" w:rsidRDefault="00000000" w:rsidP="00730CEB">
      <w:pPr>
        <w:jc w:val="both"/>
      </w:pPr>
      <w:r>
        <w:rPr>
          <w:b/>
          <w:bCs/>
        </w:rPr>
        <w:t>12.</w:t>
      </w:r>
      <w:r>
        <w:t xml:space="preserve"> Yabancı uyruklu taraflara ilişkin davalarda tercüman görevlendirilmesini talep etmeye, apostilli ve noter onaylı tercüme belgelerini ilgili mercilere ibraz etmeye;</w:t>
      </w:r>
    </w:p>
    <w:p w14:paraId="07978695" w14:textId="77777777" w:rsidR="00CC6AF7" w:rsidRDefault="00000000" w:rsidP="00730CEB">
      <w:pPr>
        <w:jc w:val="both"/>
      </w:pPr>
      <w:r>
        <w:rPr>
          <w:b/>
          <w:bCs/>
        </w:rPr>
        <w:t>13.</w:t>
      </w:r>
      <w:r>
        <w:t xml:space="preserve"> Yabancı mahkeme ve hakem kararlarının Türkiye'de tanınması ve tenfizine ilişkin dava açmaya ve bu süreçleri takip etmeye;</w:t>
      </w:r>
    </w:p>
    <w:p w14:paraId="5B12B84D" w14:textId="77777777" w:rsidR="00CC6AF7" w:rsidRDefault="00000000" w:rsidP="00730CEB">
      <w:pPr>
        <w:jc w:val="both"/>
      </w:pPr>
      <w:r>
        <w:rPr>
          <w:b/>
          <w:bCs/>
        </w:rPr>
        <w:t>14.</w:t>
      </w:r>
      <w:r>
        <w:t xml:space="preserve"> Yabancı uyruklu şüpheli, sanık veya mağdurların cezai soruşturma ve kovuşturma süreçlerinde; savcılık, mahkeme ve ilgili tüm merciler nezdinde adıma temsil etmeye, savunma yapmaya ve hukuki haklarını kullanmaya.</w:t>
      </w:r>
    </w:p>
    <w:p w14:paraId="78354852" w14:textId="77777777" w:rsidR="00CC6AF7" w:rsidRDefault="00000000" w:rsidP="00730CEB">
      <w:pPr>
        <w:pStyle w:val="Balk4"/>
        <w:spacing w:before="240" w:after="240" w:line="280" w:lineRule="auto"/>
        <w:jc w:val="both"/>
      </w:pPr>
      <w:r>
        <w:rPr>
          <w:b/>
          <w:bCs/>
          <w:color w:val="000000"/>
        </w:rPr>
        <w:t>Kişisel Veri ve Sağlık Verisi Yetkileri</w:t>
      </w:r>
    </w:p>
    <w:p w14:paraId="2F2476A3" w14:textId="77777777" w:rsidR="00CC6AF7" w:rsidRDefault="00000000" w:rsidP="00730CEB">
      <w:pPr>
        <w:jc w:val="both"/>
      </w:pPr>
      <w:r>
        <w:rPr>
          <w:b/>
          <w:bCs/>
        </w:rPr>
        <w:t>6698 sayılı Kişisel Verilerin Korunması Kanunu (KVKK)</w:t>
      </w:r>
      <w:r>
        <w:t xml:space="preserve"> ve ilgili mevzuat kapsamında:</w:t>
      </w:r>
    </w:p>
    <w:p w14:paraId="24E82701" w14:textId="77777777" w:rsidR="00CC6AF7" w:rsidRDefault="00000000" w:rsidP="00730CEB">
      <w:pPr>
        <w:jc w:val="both"/>
      </w:pPr>
      <w:r>
        <w:t xml:space="preserve">Veri sahibi sıfatıyla ilgili kurum, kuruluş ve veri sorumlularına başvuruda bulunmaya, kişisel verilerime erişim talep etmeye, elde edilen verileri dava ve hukuki süreçlerde delil olarak kullanmaya; </w:t>
      </w:r>
      <w:r>
        <w:rPr>
          <w:b/>
          <w:bCs/>
        </w:rPr>
        <w:t>KVKK m. 11</w:t>
      </w:r>
      <w:r>
        <w:t xml:space="preserve"> kapsamında özel nitelikli kişisel veriler (sağlık verileri, biyometrik veriler dahil) üzerindeki tüm talep haklarını kullanmaya; hastane, klinik, poliklinik, sağlık kuruluşları ve Sağlık Bakanlığı nezdinde sağlık kayıtlarıma, tıbbi geçmişime, teşhis ve tedavi belgelerime, görüntüleme ve laboratuvar sonuçlarıma erişmeye ve suretlerini çıkartmaya; e-Nabız sistemi, Merkezi Hekim Randevu Sistemi (MHRS) ve diğer dijital sağlık platformlarına erişmeye, ilgili belgeleri temin etmeye; elde edilen kişisel ve özel nitelikli sağlık verilerini dava stratejisi ve delil değerlendirmesi amacıyla incelemeye ve kullanmaya yetkili kılınmıştır.</w:t>
      </w:r>
    </w:p>
    <w:p w14:paraId="792D1864" w14:textId="77777777" w:rsidR="00CC6AF7" w:rsidRDefault="00000000" w:rsidP="00730CEB">
      <w:pPr>
        <w:pStyle w:val="Balk4"/>
        <w:spacing w:before="240" w:after="240" w:line="280" w:lineRule="auto"/>
        <w:jc w:val="both"/>
      </w:pPr>
      <w:r>
        <w:rPr>
          <w:b/>
          <w:bCs/>
          <w:color w:val="000000"/>
        </w:rPr>
        <w:t>Arabuluculuk ve Alternatif Uyuşmazlık Çözüm Yetkileri</w:t>
      </w:r>
    </w:p>
    <w:p w14:paraId="520DBC06" w14:textId="77777777" w:rsidR="00CC6AF7" w:rsidRDefault="00000000" w:rsidP="00730CEB">
      <w:pPr>
        <w:jc w:val="both"/>
      </w:pPr>
      <w:r>
        <w:rPr>
          <w:b/>
          <w:bCs/>
        </w:rPr>
        <w:t>6325 sayılı Hukuk Uyuşmazlıklarında Arabuluculuk Kanunu</w:t>
      </w:r>
      <w:r>
        <w:t xml:space="preserve"> ve ilgili mevzuat kapsamında:</w:t>
      </w:r>
    </w:p>
    <w:p w14:paraId="73F30A38" w14:textId="77777777" w:rsidR="00CC6AF7" w:rsidRDefault="00000000" w:rsidP="00730CEB">
      <w:pPr>
        <w:jc w:val="both"/>
      </w:pPr>
      <w:r>
        <w:t xml:space="preserve">Zorunlu ve ihtiyari arabuluculuk süreçlerinin tamamında beni münferiden temsil etmeye; arabuluculuk görüşmelerini yürütmeye, uzlaşmaya ya da uzlaşmayı reddetmeye, </w:t>
      </w:r>
      <w:r>
        <w:rPr>
          <w:u w:val="single"/>
        </w:rPr>
        <w:t>uzlaşma tutanağını ve son tutanağı imzalamaya</w:t>
      </w:r>
      <w:r>
        <w:t>; arabuluculuk sürecine ilişkin her türlü belge, tutanak, protokol ve sözleşmeyi adıma imzalamaya; uzlaşma görüşmeleri ve müzakere süreçlerinde adıma beyanda bulunmaya ve bağlayıcı anlaşma yapmaya; tahkim, arabuluculuk ve her türlü alternatif uyuşmazlık çözüm mekanizmasında tam yetkiyle temsil etmeye yetkili kılınmıştır.</w:t>
      </w:r>
    </w:p>
    <w:p w14:paraId="4DDBF097" w14:textId="77777777" w:rsidR="00CC6AF7" w:rsidRDefault="00000000" w:rsidP="00730CEB">
      <w:pPr>
        <w:pStyle w:val="Balk4"/>
        <w:spacing w:before="240" w:after="240" w:line="280" w:lineRule="auto"/>
        <w:jc w:val="both"/>
      </w:pPr>
      <w:r>
        <w:rPr>
          <w:b/>
          <w:bCs/>
          <w:color w:val="000000"/>
        </w:rPr>
        <w:t>Tevkil, Teşrik ve Azil Yetkisi</w:t>
      </w:r>
    </w:p>
    <w:p w14:paraId="09A9C094" w14:textId="77777777" w:rsidR="00CC6AF7" w:rsidRDefault="00000000" w:rsidP="00730CEB">
      <w:pPr>
        <w:jc w:val="both"/>
      </w:pPr>
      <w:r>
        <w:t>Yukarıda sayılan yetkilerin bir kısmını veya tamamını, kısmen ya da tamamen başkalarına devir ve tevkil etmeye, bu işler için birden fazla kişiyi birlikte veya ayrı ayrı yetkili kılmaya, tevkil ettiği kişileri azle ve yeni vekil tayin etmeye yetkili olmak üzere;</w:t>
      </w:r>
    </w:p>
    <w:p w14:paraId="504D9A92" w14:textId="77777777" w:rsidR="00CC6AF7" w:rsidRDefault="00000000" w:rsidP="00730CEB">
      <w:pPr>
        <w:jc w:val="both"/>
      </w:pPr>
      <w:r>
        <w:t xml:space="preserve">Kuştepe </w:t>
      </w:r>
      <w:proofErr w:type="spellStart"/>
      <w:r>
        <w:t>Mh</w:t>
      </w:r>
      <w:proofErr w:type="spellEnd"/>
      <w:r>
        <w:t xml:space="preserve">. Biracılar Sok. No. 34 Şişli / İstanbul adresinde mukim, İstanbul Barosu'na </w:t>
      </w:r>
      <w:r>
        <w:rPr>
          <w:b/>
          <w:bCs/>
        </w:rPr>
        <w:t>22015</w:t>
      </w:r>
      <w:r>
        <w:t xml:space="preserve"> sicil numarası ile kayıtlı, Kağıthane Vergi Dairesi'nin </w:t>
      </w:r>
      <w:r>
        <w:rPr>
          <w:b/>
          <w:bCs/>
        </w:rPr>
        <w:t>9350017121</w:t>
      </w:r>
      <w:r>
        <w:t xml:space="preserve"> vergi numaralı </w:t>
      </w:r>
      <w:r>
        <w:rPr>
          <w:b/>
          <w:bCs/>
        </w:rPr>
        <w:t>Av. Mustafa YAMAN</w:t>
      </w:r>
      <w:r>
        <w:t xml:space="preserve"> tarafımdan yetkili vekil tayin edilmiştir.</w:t>
      </w:r>
    </w:p>
    <w:p w14:paraId="4C2FC4B4" w14:textId="77777777" w:rsidR="00CC6AF7" w:rsidRDefault="00000000">
      <w:pPr>
        <w:jc w:val="right"/>
      </w:pPr>
      <w:r>
        <w:t xml:space="preserve">Tanzim </w:t>
      </w:r>
      <w:proofErr w:type="gramStart"/>
      <w:r>
        <w:t>Tarihi :</w:t>
      </w:r>
      <w:proofErr w:type="gramEnd"/>
      <w:r>
        <w:t xml:space="preserve"> ……/……/……</w:t>
      </w:r>
    </w:p>
    <w:p w14:paraId="5F9A1C48" w14:textId="77777777" w:rsidR="00CC6AF7" w:rsidRDefault="00000000">
      <w:pPr>
        <w:jc w:val="right"/>
      </w:pPr>
      <w:r>
        <w:rPr>
          <w:b/>
          <w:bCs/>
        </w:rPr>
        <w:t>VEKALETİ VEREN</w:t>
      </w:r>
    </w:p>
    <w:p w14:paraId="363BEFC4" w14:textId="77777777" w:rsidR="00CC6AF7" w:rsidRDefault="00000000">
      <w:pPr>
        <w:jc w:val="right"/>
      </w:pPr>
      <w:r>
        <w:t xml:space="preserve">Ad </w:t>
      </w:r>
      <w:proofErr w:type="spellStart"/>
      <w:proofErr w:type="gramStart"/>
      <w:r>
        <w:t>Soyad</w:t>
      </w:r>
      <w:proofErr w:type="spellEnd"/>
      <w:r>
        <w:t xml:space="preserve"> :</w:t>
      </w:r>
      <w:proofErr w:type="gramEnd"/>
      <w:r>
        <w:t xml:space="preserve"> ……………………………………</w:t>
      </w:r>
    </w:p>
    <w:p w14:paraId="346A047A" w14:textId="77777777" w:rsidR="00CC6AF7" w:rsidRDefault="00000000">
      <w:pPr>
        <w:jc w:val="right"/>
      </w:pPr>
      <w:proofErr w:type="gramStart"/>
      <w:r>
        <w:t>İmza :</w:t>
      </w:r>
      <w:proofErr w:type="gramEnd"/>
      <w:r>
        <w:t xml:space="preserve"> ……………………………………</w:t>
      </w:r>
    </w:p>
    <w:sectPr w:rsidR="00CC6AF7" w:rsidSect="00730CEB">
      <w:pgSz w:w="11906" w:h="16838"/>
      <w:pgMar w:top="1135" w:right="991"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B3ABA"/>
    <w:multiLevelType w:val="hybridMultilevel"/>
    <w:tmpl w:val="5268C148"/>
    <w:lvl w:ilvl="0" w:tplc="75C686E8">
      <w:start w:val="1"/>
      <w:numFmt w:val="bullet"/>
      <w:lvlText w:val="●"/>
      <w:lvlJc w:val="left"/>
      <w:pPr>
        <w:ind w:left="720" w:hanging="360"/>
      </w:pPr>
    </w:lvl>
    <w:lvl w:ilvl="1" w:tplc="DA8A735E">
      <w:start w:val="1"/>
      <w:numFmt w:val="bullet"/>
      <w:lvlText w:val="○"/>
      <w:lvlJc w:val="left"/>
      <w:pPr>
        <w:ind w:left="1440" w:hanging="360"/>
      </w:pPr>
    </w:lvl>
    <w:lvl w:ilvl="2" w:tplc="4D0079CE">
      <w:start w:val="1"/>
      <w:numFmt w:val="bullet"/>
      <w:lvlText w:val="■"/>
      <w:lvlJc w:val="left"/>
      <w:pPr>
        <w:ind w:left="2160" w:hanging="360"/>
      </w:pPr>
    </w:lvl>
    <w:lvl w:ilvl="3" w:tplc="603C66B2">
      <w:start w:val="1"/>
      <w:numFmt w:val="bullet"/>
      <w:lvlText w:val="●"/>
      <w:lvlJc w:val="left"/>
      <w:pPr>
        <w:ind w:left="2880" w:hanging="360"/>
      </w:pPr>
    </w:lvl>
    <w:lvl w:ilvl="4" w:tplc="3644575A">
      <w:start w:val="1"/>
      <w:numFmt w:val="bullet"/>
      <w:lvlText w:val="○"/>
      <w:lvlJc w:val="left"/>
      <w:pPr>
        <w:ind w:left="3600" w:hanging="360"/>
      </w:pPr>
    </w:lvl>
    <w:lvl w:ilvl="5" w:tplc="781C33A2">
      <w:start w:val="1"/>
      <w:numFmt w:val="bullet"/>
      <w:lvlText w:val="■"/>
      <w:lvlJc w:val="left"/>
      <w:pPr>
        <w:ind w:left="4320" w:hanging="360"/>
      </w:pPr>
    </w:lvl>
    <w:lvl w:ilvl="6" w:tplc="27C4F8FE">
      <w:start w:val="1"/>
      <w:numFmt w:val="bullet"/>
      <w:lvlText w:val="●"/>
      <w:lvlJc w:val="left"/>
      <w:pPr>
        <w:ind w:left="5040" w:hanging="360"/>
      </w:pPr>
    </w:lvl>
    <w:lvl w:ilvl="7" w:tplc="B4AE0B3C">
      <w:start w:val="1"/>
      <w:numFmt w:val="bullet"/>
      <w:lvlText w:val="●"/>
      <w:lvlJc w:val="left"/>
      <w:pPr>
        <w:ind w:left="5760" w:hanging="360"/>
      </w:pPr>
    </w:lvl>
    <w:lvl w:ilvl="8" w:tplc="7A3E266A">
      <w:start w:val="1"/>
      <w:numFmt w:val="bullet"/>
      <w:lvlText w:val="●"/>
      <w:lvlJc w:val="left"/>
      <w:pPr>
        <w:ind w:left="6480" w:hanging="360"/>
      </w:pPr>
    </w:lvl>
  </w:abstractNum>
  <w:num w:numId="1" w16cid:durableId="13563488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AF7"/>
    <w:rsid w:val="007179BD"/>
    <w:rsid w:val="00730CEB"/>
    <w:rsid w:val="00CC6AF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9598D"/>
  <w15:docId w15:val="{1DABA0E7-97FE-4647-9C60-FBA60B9F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tr-TR" w:eastAsia="tr-TR"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unhideWhenUsed/>
    <w:qFormat/>
    <w:pPr>
      <w:outlineLvl w:val="1"/>
    </w:pPr>
    <w:rPr>
      <w:color w:val="2E74B5"/>
      <w:sz w:val="26"/>
      <w:szCs w:val="26"/>
    </w:rPr>
  </w:style>
  <w:style w:type="paragraph" w:styleId="Balk3">
    <w:name w:val="heading 3"/>
    <w:uiPriority w:val="9"/>
    <w:unhideWhenUsed/>
    <w:qFormat/>
    <w:pPr>
      <w:outlineLvl w:val="2"/>
    </w:pPr>
    <w:rPr>
      <w:color w:val="1F4D78"/>
    </w:rPr>
  </w:style>
  <w:style w:type="paragraph" w:styleId="Balk4">
    <w:name w:val="heading 4"/>
    <w:uiPriority w:val="9"/>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pPr>
      <w:spacing w:after="0"/>
    </w:pPr>
    <w:rPr>
      <w:sz w:val="20"/>
      <w:szCs w:val="20"/>
    </w:rPr>
  </w:style>
  <w:style w:type="character" w:customStyle="1" w:styleId="DipnotMetniChar">
    <w:name w:val="Dipnot Metni Char"/>
    <w:link w:val="Dip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1421</Words>
  <Characters>8103</Characters>
  <Application>Microsoft Office Word</Application>
  <DocSecurity>0</DocSecurity>
  <Lines>67</Lines>
  <Paragraphs>19</Paragraphs>
  <ScaleCrop>false</ScaleCrop>
  <Company>Silentall Unattended Installer</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Av. Arb. Mustafa Yaman</cp:lastModifiedBy>
  <cp:revision>3</cp:revision>
  <dcterms:created xsi:type="dcterms:W3CDTF">2026-06-16T20:44:00Z</dcterms:created>
  <dcterms:modified xsi:type="dcterms:W3CDTF">2026-06-16T20:46:00Z</dcterms:modified>
</cp:coreProperties>
</file>